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F6" w:rsidRPr="005A54F6" w:rsidRDefault="005A54F6" w:rsidP="002F325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</w:rPr>
        <w:t>Консультация для родителей</w:t>
      </w:r>
    </w:p>
    <w:p w:rsidR="005A54F6" w:rsidRDefault="005A54F6" w:rsidP="002F325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5A54F6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</w:rPr>
        <w:t>Развитие сенсорных способностей детей раннего возраста</w:t>
      </w:r>
      <w:hyperlink r:id="rId4" w:tooltip="" w:history="1">
        <w:r w:rsidRPr="005A54F6">
          <w:rPr>
            <w:rFonts w:ascii="Times New Roman" w:eastAsia="Times New Roman" w:hAnsi="Times New Roman" w:cs="Times New Roman"/>
            <w:color w:val="326693"/>
            <w:sz w:val="18"/>
            <w:szCs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Изображение" href="https://ddu104grodno.schools.by/photo/3959770" title="&quot;&quot;" style="width:24pt;height:24pt" o:button="t"/>
          </w:pict>
        </w:r>
      </w:hyperlink>
    </w:p>
    <w:p w:rsidR="005A54F6" w:rsidRPr="005A54F6" w:rsidRDefault="005A54F6" w:rsidP="002F32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A54F6" w:rsidRPr="005A54F6" w:rsidRDefault="005A54F6" w:rsidP="002F3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Сенсорное развитие детей дошкольного возраста – это развитие правильного восприятия малыша и формирование определенных представлений о свойствах разных предметов: цвете, форме, величине, вкусе, запахе и так далее.</w:t>
      </w:r>
    </w:p>
    <w:p w:rsidR="005A54F6" w:rsidRPr="005A54F6" w:rsidRDefault="005A54F6" w:rsidP="002F3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Под </w:t>
      </w:r>
      <w:r w:rsidRPr="005A54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сенсорным воспитанием</w:t>
      </w: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в настоящее время понимают целенаправленное совершенствование, развитие у детей сенсорных процессов (ощущений, восприятий, представлений).</w:t>
      </w:r>
    </w:p>
    <w:p w:rsidR="005A54F6" w:rsidRPr="005A54F6" w:rsidRDefault="005A54F6" w:rsidP="002F3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Ребёнок начинает изучать окружающий его мир при помощи восприятия тех или иных явлений, предметов, ощущений. </w:t>
      </w:r>
      <w:proofErr w:type="gramStart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За всё перечисленное отвечают органы чувств (уши, глаза, нос, язык, рецепторы кожи, они служат, как предпосылка для развития осознания окружающего мира с его разнообразием цвета, форм, величин.</w:t>
      </w:r>
      <w:proofErr w:type="gramEnd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 для гармоничного, полноценного, сенсорного развития детей дошкольного возраста необходимо заниматься с малышом с самого рождения.</w:t>
      </w:r>
      <w:hyperlink r:id="rId5" w:tgtFrame="_self" w:history="1">
        <w:r w:rsidRPr="005A54F6">
          <w:rPr>
            <w:rFonts w:ascii="Times New Roman" w:eastAsia="Times New Roman" w:hAnsi="Times New Roman" w:cs="Times New Roman"/>
            <w:color w:val="326693"/>
            <w:sz w:val="28"/>
            <w:szCs w:val="28"/>
          </w:rPr>
          <w:pict>
            <v:shape id="_x0000_i1026" type="#_x0000_t75" alt="" href="https://im0-tub-by.yandex.net/i?id=8ede329f716aefd1046b4d80ab1aacf8-l&amp;n=13" target="&quot;_self&quot;" style="width:24pt;height:24pt" o:button="t"/>
          </w:pict>
        </w:r>
      </w:hyperlink>
    </w:p>
    <w:p w:rsidR="005A54F6" w:rsidRPr="005A54F6" w:rsidRDefault="005A54F6" w:rsidP="002F3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сформировать у ребёнка правильное восприятие окружающего мира, необходимо знакомить его со всем разнообразием сенсорных ощущений, но научить ребёнка обследовать предметы и различать их свойства ещё недостаточно для полноценного развития восприятия. Необходимо уметь определять отношение выявленных свойств данного предмета к свойствам других предметов. Для этого существуют мерки, с помощью которых можно сравнивать предметы – сенсорные эталоны.</w:t>
      </w:r>
    </w:p>
    <w:p w:rsidR="005A54F6" w:rsidRPr="005A54F6" w:rsidRDefault="005A54F6" w:rsidP="002F3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Сенсорный эталон</w:t>
      </w: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 - это общепринятые образцы внешних свой</w:t>
      </w:r>
      <w:proofErr w:type="gramStart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ств пр</w:t>
      </w:r>
      <w:proofErr w:type="gramEnd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едметов.</w:t>
      </w:r>
    </w:p>
    <w:p w:rsidR="005A54F6" w:rsidRPr="005A54F6" w:rsidRDefault="005A54F6" w:rsidP="002F3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Эталоны цвета - семь цветов спектра; эталоны формы - геометрические фигуры; эталоны величины - метрическая система мер; эталоны вкусового восприятия - четыре основных вкуса (солёный, сладкий, кислый, горький) и т. д. В процессе восприятия ребёнок накапливает зрительные, вкусовые, слуховые, двигательные, осязательные, обонятельные образы.</w:t>
      </w:r>
      <w:proofErr w:type="gramEnd"/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noProof/>
          <w:color w:val="326693"/>
          <w:sz w:val="28"/>
          <w:szCs w:val="28"/>
        </w:rPr>
        <w:drawing>
          <wp:inline distT="0" distB="0" distL="0" distR="0">
            <wp:extent cx="3400425" cy="2428001"/>
            <wp:effectExtent l="19050" t="0" r="9525" b="0"/>
            <wp:docPr id="9" name="Рисунок 9" descr="https://im0-tub-by.yandex.net/i?id=dcc32233885d777204ce497746000928-l&amp;n=1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by.yandex.net/i?id=dcc32233885d777204ce497746000928-l&amp;n=1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077" cy="243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lastRenderedPageBreak/>
        <w:t>Значение сенсорного воспитания</w:t>
      </w: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 состоит в том, что оно: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- является основой для интеллектуального развития;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- упорядочивает хаотичные представления ребенка, полученные при взаимодействии с внешним миром;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развивает наблюдательность;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- готовит к реальной жизни;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- позитивно влияет на эстетическое чувство;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- является основой для развития воображения;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развивает внимание;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- дает ребенку возможность овладеть новыми способами предметно-познавательной деятельности;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- обеспечивает усвоение сенсорных эталонов;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- обеспечивает освоение навыков учебной деятельности;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- влияет на расширение словарного запаса ребенка;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- влияет на развитие зрительной, слуховой, моторной, образной и др. видов памяти.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Обеспечивая приток новых ощущений, сенсорное воспитание также способствует общему физическому и психическому развитию малыша. При недостатке впечатлений младенцы испытывают "сенсорный голод", который приводит к задержкам общего развития.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>Сенсорное развитие детей дошкольного возраста – это основа интеллектуального развития, формирования разных навыков. От этого зависит не только успеваемость детей, но и выполнение различных видов деятельности уже в будущем.</w:t>
      </w:r>
    </w:p>
    <w:p w:rsid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Важнейшей отличительной особенностью восприятия детей дошкольного возраста выступает тот факт, что, соединяя в себе опыт других видов ориентировочной деятельности, </w:t>
      </w:r>
      <w:r w:rsidRPr="005A54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зрительное восприятие становится одним из ведущих</w:t>
      </w: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Оно позволяет охватить все детали, уловить их взаимосвязи и качества. Формируется акт рассматривания, в то время как </w:t>
      </w:r>
      <w:proofErr w:type="spellStart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преддошкольники</w:t>
      </w:r>
      <w:proofErr w:type="spellEnd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очень редко рассматривают предметы, не действуя с ними. Дошкольник в ходе рассматривания решает разнообразные задачи: ищет нужный предмет и выделяет его; устанавливает его особенности, индивидуальные стороны, определяет в нём признаки или части, отличающие и объединяющие его с другими объектами; создаёт образ незнакомого предмета.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Развитие зрительного представления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Развитие зрительного восприятия необходимо человеку для того, чтобы правильно ориентироваться в пространстве, оценивать положение предметов относительно друг друга (выше - ниже, дальше - ближе, левее - правее, понимать форму объемных предметов.</w:t>
      </w:r>
      <w:proofErr w:type="gramEnd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Человек, у которого недостаточно развит зрительный анализ, испытывает трудности при восприятии сюжетных картин, пейзажей.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к школьному периоду не сформировались функции зрительного анализа, то в дальнейшем могут возникнуть трудности при письме. Именно поэтому важно помочь ребенку развить зрительное восприятие еще в дошкольном возрасте.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4636043" cy="3018578"/>
            <wp:effectExtent l="19050" t="0" r="0" b="0"/>
            <wp:docPr id="11" name="Рисунок 11" descr="http://ic.pics.livejournal.com/r_o_b_i_n_s/52676289/240832/240832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c.pics.livejournal.com/r_o_b_i_n_s/52676289/240832/240832_90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621" cy="301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Цвет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Сенсорными эталонами в области восприятия цвета служат так называемые хроматические (красный, оранжевый, жёлтый, зелёный, синий, </w:t>
      </w:r>
      <w:proofErr w:type="spellStart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голубой</w:t>
      </w:r>
      <w:proofErr w:type="spellEnd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) и ахроматические цвета (белый, чёрный, оттенки серого).</w:t>
      </w:r>
      <w:proofErr w:type="gramEnd"/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Среди хроматических цветов красный, жёлтый и синий являются чистыми цветами. Все другие цвета получаются в результате смешивания двух красок. Так, оранжевый цвет – это результат смешивания красного и жёлтого цветов, зелёный – синего и жёлтого, фиолетовый – синего и красного.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Также различают оттенки цвета по светлоте, которые зависят от процентного соотношения белого и основного цветов.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Знакомство малыша с цветом надо начинать с четырёх основных цветов: красного, жёлтого, зелёного и синего. Только после того, как ребёнок научится без труда узнавать и различать эти цвета, а также называть их можно знакомить его с белым, чёрным, оранжевым и фиолетовым цветами.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 процессе знакомства ребёнка с цветом можно выделить следующие </w:t>
      </w:r>
      <w:r w:rsidRPr="005A54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этапы</w:t>
      </w: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различение цветов по принципу «</w:t>
      </w:r>
      <w:proofErr w:type="gramStart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такой</w:t>
      </w:r>
      <w:proofErr w:type="gramEnd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не такой». На этом этапе малыш сравнивает предметы по цвету, </w:t>
      </w:r>
      <w:proofErr w:type="gramStart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прикладывая их друг к</w:t>
      </w:r>
      <w:proofErr w:type="gramEnd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другу. Например, можно предложить ребёнку найти пары предметов одинакового цвета. Когда малыш сравнит цвета, назовите их, не требуя от него повторения;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• зрительное соотнесение цветов – восприятие цвета на расстоянии, выбор цвета по образцу. Например, можно показать ребёнку карточку определённого цвета и предложить найти в комнате предметы (или картинки) такого же цвета. После выполнения ребёнком задания назовите цвет;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закрепление представлений о цвете в слове. На этом этапе малыш различает цвета по названию, не </w:t>
      </w:r>
      <w:proofErr w:type="gramStart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прикладывая предметы друг к</w:t>
      </w:r>
      <w:proofErr w:type="gramEnd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другу и не сравнивая их с образцом цвета, а также называют основные цвета.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• Знакомство с цветом осуществляется во время игры, во время специально организованного занятия и в быту при рассматривании различных предметов (овощи, ф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рукты, одежда, игрушки и т. д.)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noProof/>
          <w:color w:val="326693"/>
          <w:sz w:val="28"/>
          <w:szCs w:val="28"/>
        </w:rPr>
        <w:drawing>
          <wp:inline distT="0" distB="0" distL="0" distR="0">
            <wp:extent cx="3114581" cy="2333625"/>
            <wp:effectExtent l="19050" t="0" r="0" b="0"/>
            <wp:docPr id="12" name="Рисунок 12" descr="https://im0-tub-by.yandex.net/i?id=d8c6c54f90c54c59f8b9f33cb7d96d9f-l&amp;n=13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0-tub-by.yandex.net/i?id=d8c6c54f90c54c59f8b9f33cb7d96d9f-l&amp;n=13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581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Величина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Величина - это значимое свойство предмета (размер, объём, протяжённость, которое измеряется путём сравнения с другими объектами либо с помощью специальных инструментов.</w:t>
      </w:r>
      <w:proofErr w:type="gramEnd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Признак величины является относительным при сравнении на глаз: так ёлка кажется маленькой по сравнению с домом и большой по сравнению с шишкой. Обучение данному свойству может проходить только в специально созданной среде: все задания должны быть направлены на сравнение предметов.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При обучении необходимо соблюдать ряд </w:t>
      </w:r>
      <w:r w:rsidRPr="005A54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правил</w:t>
      </w: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Предлагать предметы сравнивать только по одному параметру (только по величине или высоте).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• Сравнивать предметы одинаковые по форме и цвету.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 Сначала сравнивать предметы, которые резко отличаются по величине, затем добавляем третий объект - средний.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• Параметры величины озвучивать словами и подкрепляющими жестами, от детей сразу не требовать повторения названий.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• Сначала величину обозначают словами "такой - не такой", затем большой - маленький и только потом используются понятия, обозначающие конкретную величину (высокий - низки, длинный - короткий и т. д.).</w:t>
      </w:r>
      <w:proofErr w:type="gramEnd"/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Форма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В процессе знакомства с формой предметов выделяют следующие </w:t>
      </w:r>
      <w:r w:rsidRPr="005A54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этапы</w:t>
      </w: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практические действия. Для того</w:t>
      </w:r>
      <w:proofErr w:type="gramStart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чтобы ребёнок мог практическим путём определить форму предмета, используют специальные дидактические игрушки, в ходе действия с которыми малыш начинает понимать, что от умения определять форму зависит результат игры (например, различные доски, рамки, коробки с отверстиями разной формы). </w:t>
      </w:r>
      <w:proofErr w:type="gramStart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На этом этапе ребёнок сравнивает предметы по форме («такой – не такой», не называя её.</w:t>
      </w:r>
      <w:proofErr w:type="gramEnd"/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• зрительное восприятие формы. На этом этапе ребёнка знакомят с эталонами плоских геометрических фигур (позже и с объёмными геометрическими телами) без практических действий с ними и запоминания их названий.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proofErr w:type="gramStart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proofErr w:type="gramEnd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апоминание эталонов геометрических форм и их названий, использование этих знаний в различных ситуациях. Этот этап выходит за рамки раннего возраста и изучается после трёх лет, в дошкольном возрасте.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Знакомить ребёнка с геометрическими формами и закреплять знания о них можно следующими </w:t>
      </w:r>
      <w:r w:rsidRPr="005A54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способами</w:t>
      </w: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• используя специальные игрушки;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• рассматривая эталоны форм – плоские и объёмные фигуры;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• рассматривая реальные предметы простой формы;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• используя специальные дидактические игры (настольно-печатные, подвижные и др.).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Количество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Количество - это категория, которая характеризует предметы и явления </w:t>
      </w:r>
      <w:proofErr w:type="spellStart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оружающего</w:t>
      </w:r>
      <w:proofErr w:type="spellEnd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мира со стороны числа, объёма. В рамки сенсорного развития данная категория входит только в раннем возрасте (1-3 года) и включает в себя понятия "один", "много", "мало", "поровну", "ни одного" (пусто). В дальнейшем количество изучается на занятиях по формированию элементарных математических представлений. </w:t>
      </w:r>
      <w:proofErr w:type="gramStart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Обучение по различению</w:t>
      </w:r>
      <w:proofErr w:type="gramEnd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количества следует начинать с практических действий с предметами и явлениями окружающей действительности, а также с игровым материалом. И </w:t>
      </w: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лишь потом вводит картинки с их изображением. Во время еды можно сравнивать количество чая в стаканах, количество каши в тарелке. На прогулке наблюдать за машинами, облаками, цветами. На занятиях с различными предметами (карандаши, листики, краски.)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развития сенсорного восприятия детей младшего дошкольного возраста очень широко используются специальные игры и упражнения, а также различные сенсорные игрушки, которые можно условно подразделить </w:t>
      </w:r>
      <w:proofErr w:type="gramStart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Мягкие игрушки, которые сшиты из разных по фактуре материалов. В качестве наполнителя в таких игрушках могут быть </w:t>
      </w:r>
      <w:proofErr w:type="spellStart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холлофайбер</w:t>
      </w:r>
      <w:proofErr w:type="spellEnd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синтепон</w:t>
      </w:r>
      <w:proofErr w:type="spellEnd"/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, крупы, косточки.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• Игрушки, развивающие точность и координацию движений детей: шнуровки, развивающие книжки, коврики, панно, массажные дорожки.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• Игрушки с функцией простого конструктора: вкладыши, пирамидки, матрешки, кубики, коробочки. Они могут быть сделаны из дерева, пластмассы, из ткани или резины в виде подушки или зверей.</w:t>
      </w:r>
    </w:p>
    <w:p w:rsidR="005A54F6" w:rsidRPr="005A54F6" w:rsidRDefault="005A54F6" w:rsidP="002F325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54F6">
        <w:rPr>
          <w:rFonts w:ascii="Times New Roman" w:eastAsia="Times New Roman" w:hAnsi="Times New Roman" w:cs="Times New Roman"/>
          <w:color w:val="111111"/>
          <w:sz w:val="28"/>
          <w:szCs w:val="28"/>
        </w:rPr>
        <w:t>• Мозаика, простой строительный конструктор (пластмассовый, металлический, тряпочный, деревянный)</w:t>
      </w:r>
    </w:p>
    <w:p w:rsidR="00942FB3" w:rsidRPr="005A54F6" w:rsidRDefault="00942FB3">
      <w:pPr>
        <w:rPr>
          <w:rFonts w:ascii="Times New Roman" w:hAnsi="Times New Roman" w:cs="Times New Roman"/>
          <w:sz w:val="28"/>
          <w:szCs w:val="28"/>
        </w:rPr>
      </w:pPr>
    </w:p>
    <w:sectPr w:rsidR="00942FB3" w:rsidRPr="005A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4F6"/>
    <w:rsid w:val="002F325A"/>
    <w:rsid w:val="005A54F6"/>
    <w:rsid w:val="0094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54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4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54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5A54F6"/>
    <w:rPr>
      <w:color w:val="0000FF"/>
      <w:u w:val="single"/>
    </w:rPr>
  </w:style>
  <w:style w:type="character" w:styleId="a8">
    <w:name w:val="Emphasis"/>
    <w:basedOn w:val="a0"/>
    <w:uiPriority w:val="20"/>
    <w:qFormat/>
    <w:rsid w:val="005A54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0272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24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75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1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0-tub-by.yandex.net/i?id=dcc32233885d777204ce497746000928-l&amp;n=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m0-tub-by.yandex.net/i?id=8ede329f716aefd1046b4d80ab1aacf8-l&amp;n=13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ddu104grodno.schools.by/photo/3959770" TargetMode="External"/><Relationship Id="rId9" Type="http://schemas.openxmlformats.org/officeDocument/2006/relationships/hyperlink" Target="https://im0-tub-by.yandex.net/i?id=d8c6c54f90c54c59f8b9f33cb7d96d9f-l&amp;n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2022-03-28T12:32:00Z</dcterms:created>
  <dcterms:modified xsi:type="dcterms:W3CDTF">2022-03-28T12:48:00Z</dcterms:modified>
</cp:coreProperties>
</file>